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0" w:rsidRDefault="008D2CC0" w:rsidP="008D2CC0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A7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7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2A7557">
        <w:rPr>
          <w:rFonts w:ascii="Times New Roman" w:hAnsi="Times New Roman" w:cs="Times New Roman"/>
          <w:sz w:val="24"/>
          <w:szCs w:val="24"/>
        </w:rPr>
        <w:t>А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2A7557" w:rsidRPr="002A7557" w:rsidRDefault="002A7557" w:rsidP="002A7557">
      <w:pPr>
        <w:pStyle w:val="1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2A7557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2A7557">
        <w:rPr>
          <w:rFonts w:ascii="Times New Roman" w:hAnsi="Times New Roman" w:cs="Times New Roman"/>
          <w:sz w:val="32"/>
          <w:szCs w:val="28"/>
        </w:rPr>
        <w:t xml:space="preserve"> О С Т А Н О В Л Е Н И  Е</w:t>
      </w:r>
    </w:p>
    <w:p w:rsidR="008D2CC0" w:rsidRDefault="008D2CC0" w:rsidP="008D2CC0"/>
    <w:p w:rsidR="008D2CC0" w:rsidRDefault="008D2CC0" w:rsidP="008D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592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92592">
        <w:rPr>
          <w:rFonts w:ascii="Times New Roman" w:hAnsi="Times New Roman" w:cs="Times New Roman"/>
          <w:sz w:val="28"/>
          <w:szCs w:val="28"/>
        </w:rPr>
        <w:t>44</w:t>
      </w:r>
    </w:p>
    <w:p w:rsidR="00FB14F2" w:rsidRDefault="00FB14F2" w:rsidP="008D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C0" w:rsidRPr="00F92592" w:rsidRDefault="007C338A" w:rsidP="00D2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92">
        <w:rPr>
          <w:rFonts w:ascii="Times New Roman" w:hAnsi="Times New Roman" w:cs="Times New Roman"/>
          <w:b/>
          <w:sz w:val="28"/>
          <w:szCs w:val="28"/>
        </w:rPr>
        <w:t>О дополнительных расходах</w:t>
      </w:r>
    </w:p>
    <w:p w:rsidR="007C338A" w:rsidRPr="00D2428B" w:rsidRDefault="007C338A" w:rsidP="00D2428B">
      <w:pPr>
        <w:jc w:val="center"/>
        <w:rPr>
          <w:rFonts w:ascii="Times New Roman" w:hAnsi="Times New Roman" w:cs="Times New Roman"/>
          <w:b/>
          <w:bCs/>
          <w:iCs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На основании</w:t>
      </w:r>
      <w:r w:rsidR="0090703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Кировский район Ленинградской области от 14.03.2017 г., № 486 «Об утверждении Перечня мероприятий на подготовку и проведение мероприятий, посвященных Дню образования Ленинградской области, источником финансового обеспечения расходов по которым является иные межбюджетные трансферты из областного бюджета Ленинградской области», у</w:t>
      </w:r>
      <w:r w:rsidR="007C338A">
        <w:rPr>
          <w:rFonts w:ascii="Times New Roman" w:hAnsi="Times New Roman" w:cs="Times New Roman"/>
          <w:sz w:val="28"/>
          <w:szCs w:val="28"/>
        </w:rPr>
        <w:t xml:space="preserve">ведомления по расчетам между бюджетами комитета финансов администрации Кировского муниципального района Ленинградской области № </w:t>
      </w:r>
      <w:r w:rsidR="00907038">
        <w:rPr>
          <w:rFonts w:ascii="Times New Roman" w:hAnsi="Times New Roman" w:cs="Times New Roman"/>
          <w:sz w:val="28"/>
          <w:szCs w:val="28"/>
        </w:rPr>
        <w:t>16</w:t>
      </w:r>
      <w:r w:rsidR="007C338A">
        <w:rPr>
          <w:rFonts w:ascii="Times New Roman" w:hAnsi="Times New Roman" w:cs="Times New Roman"/>
          <w:sz w:val="28"/>
          <w:szCs w:val="28"/>
        </w:rPr>
        <w:t xml:space="preserve"> от </w:t>
      </w:r>
      <w:r w:rsidR="00907038">
        <w:rPr>
          <w:rFonts w:ascii="Times New Roman" w:hAnsi="Times New Roman" w:cs="Times New Roman"/>
          <w:sz w:val="28"/>
          <w:szCs w:val="28"/>
        </w:rPr>
        <w:t>14.03</w:t>
      </w:r>
      <w:r w:rsidR="007C338A">
        <w:rPr>
          <w:rFonts w:ascii="Times New Roman" w:hAnsi="Times New Roman" w:cs="Times New Roman"/>
          <w:sz w:val="28"/>
          <w:szCs w:val="28"/>
        </w:rPr>
        <w:t>.2017 года, руководствуясь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F92592">
        <w:rPr>
          <w:rFonts w:ascii="Times New Roman" w:hAnsi="Times New Roman" w:cs="Times New Roman"/>
          <w:sz w:val="28"/>
          <w:szCs w:val="28"/>
        </w:rPr>
        <w:t>10</w:t>
      </w:r>
      <w:r w:rsidR="007C338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МО Шумское сельское поселение, утвержденного решением совета депутатов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</w:t>
      </w:r>
      <w:r w:rsidR="00F92592">
        <w:rPr>
          <w:rFonts w:ascii="Times New Roman" w:hAnsi="Times New Roman" w:cs="Times New Roman"/>
          <w:sz w:val="28"/>
          <w:szCs w:val="28"/>
        </w:rPr>
        <w:t>03.03.2017 года № 9</w:t>
      </w:r>
      <w:r w:rsidR="007C3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38A" w:rsidRDefault="007C338A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 xml:space="preserve">Комитету финансов администрации Кировского муниципального района Ленинградской области осуществить уточнение сводной бюджетной росписи МО Шумское сельское поселение на 2017 год по бюджетной смете администрации МО Шумское сельское поселение по подразделу </w:t>
      </w:r>
      <w:r w:rsidR="00F92592">
        <w:rPr>
          <w:rFonts w:ascii="Times New Roman" w:hAnsi="Times New Roman"/>
          <w:sz w:val="28"/>
          <w:szCs w:val="28"/>
        </w:rPr>
        <w:t>0409</w:t>
      </w:r>
      <w:r w:rsidRPr="007C338A">
        <w:rPr>
          <w:rFonts w:ascii="Times New Roman" w:hAnsi="Times New Roman"/>
          <w:sz w:val="28"/>
          <w:szCs w:val="28"/>
        </w:rPr>
        <w:t xml:space="preserve"> «</w:t>
      </w:r>
      <w:r w:rsidR="00F92592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Pr="007C338A">
        <w:rPr>
          <w:rFonts w:ascii="Times New Roman" w:hAnsi="Times New Roman"/>
          <w:sz w:val="28"/>
          <w:szCs w:val="28"/>
        </w:rPr>
        <w:t xml:space="preserve">» целевой статье </w:t>
      </w:r>
      <w:r w:rsidR="00F92592">
        <w:rPr>
          <w:rFonts w:ascii="Times New Roman" w:hAnsi="Times New Roman"/>
          <w:sz w:val="28"/>
          <w:szCs w:val="28"/>
        </w:rPr>
        <w:t>9890972030</w:t>
      </w:r>
      <w:r w:rsidRPr="007C338A">
        <w:rPr>
          <w:rFonts w:ascii="Times New Roman" w:hAnsi="Times New Roman"/>
          <w:sz w:val="28"/>
          <w:szCs w:val="28"/>
        </w:rPr>
        <w:t xml:space="preserve"> за счет иного межбюджетного трансферта бюджетам бюджетной системы – </w:t>
      </w:r>
      <w:r w:rsidR="00F92592">
        <w:rPr>
          <w:rFonts w:ascii="Times New Roman" w:hAnsi="Times New Roman"/>
          <w:sz w:val="28"/>
          <w:szCs w:val="28"/>
        </w:rPr>
        <w:t xml:space="preserve">на финансирование мероприятий на подготовку и проведение мероприятий, посвященных дню образования Ленинградской области </w:t>
      </w:r>
      <w:r w:rsidRPr="007C338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сумму </w:t>
      </w:r>
      <w:r w:rsidR="00F92592">
        <w:rPr>
          <w:rFonts w:ascii="Times New Roman" w:hAnsi="Times New Roman"/>
          <w:sz w:val="28"/>
          <w:szCs w:val="28"/>
        </w:rPr>
        <w:t>260 000,00</w:t>
      </w:r>
      <w:r w:rsidRPr="007C338A">
        <w:rPr>
          <w:rFonts w:ascii="Times New Roman" w:hAnsi="Times New Roman"/>
          <w:sz w:val="28"/>
          <w:szCs w:val="28"/>
        </w:rPr>
        <w:t xml:space="preserve"> рублей (</w:t>
      </w:r>
      <w:r w:rsidR="00F92592">
        <w:rPr>
          <w:rFonts w:ascii="Times New Roman" w:hAnsi="Times New Roman"/>
          <w:sz w:val="28"/>
          <w:szCs w:val="28"/>
        </w:rPr>
        <w:t>Двести шестьдесят тысяч</w:t>
      </w:r>
      <w:r w:rsidRPr="007C338A">
        <w:rPr>
          <w:rFonts w:ascii="Times New Roman" w:hAnsi="Times New Roman"/>
          <w:sz w:val="28"/>
          <w:szCs w:val="28"/>
        </w:rPr>
        <w:t xml:space="preserve"> рублей 00 копеек), с дальнейшим вынесением на совет депутатов муниципального образования Шумское сельское поселение Кировского муниципального района Ленинградской области. </w:t>
      </w:r>
    </w:p>
    <w:p w:rsidR="007C338A" w:rsidRPr="00F92592" w:rsidRDefault="008D2CC0" w:rsidP="00F92592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F92592">
        <w:rPr>
          <w:rFonts w:ascii="Times New Roman" w:hAnsi="Times New Roman"/>
          <w:sz w:val="28"/>
          <w:szCs w:val="28"/>
        </w:rPr>
        <w:t>.</w:t>
      </w:r>
    </w:p>
    <w:p w:rsidR="007C338A" w:rsidRDefault="007C338A" w:rsidP="00F92592">
      <w:pPr>
        <w:jc w:val="both"/>
        <w:rPr>
          <w:rFonts w:ascii="Times New Roman" w:hAnsi="Times New Roman"/>
          <w:sz w:val="28"/>
          <w:szCs w:val="28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В.Л. Ульянов</w:t>
      </w:r>
    </w:p>
    <w:p w:rsidR="008D2CC0" w:rsidRDefault="008D2CC0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8D2CC0" w:rsidRDefault="008D2CC0" w:rsidP="008D2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сектор экономики и финансов</w:t>
      </w:r>
      <w:r w:rsidR="007C338A">
        <w:rPr>
          <w:rFonts w:ascii="Times New Roman" w:hAnsi="Times New Roman"/>
        </w:rPr>
        <w:t>, КФ администрации КМР ЛО</w:t>
      </w:r>
    </w:p>
    <w:p w:rsidR="00294799" w:rsidRPr="00F92592" w:rsidRDefault="00294799" w:rsidP="007C338A">
      <w:pPr>
        <w:jc w:val="right"/>
        <w:rPr>
          <w:rFonts w:ascii="Times New Roman" w:hAnsi="Times New Roman" w:cs="Times New Roman"/>
        </w:rPr>
      </w:pP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 xml:space="preserve">Приложение </w:t>
      </w: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 xml:space="preserve">к постановлению </w:t>
      </w: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>администрации МО</w:t>
      </w: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>Шумское сельское</w:t>
      </w: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 xml:space="preserve">поселение № </w:t>
      </w:r>
      <w:r w:rsidR="00F92592" w:rsidRPr="00F92592">
        <w:rPr>
          <w:rFonts w:ascii="Times New Roman" w:hAnsi="Times New Roman" w:cs="Times New Roman"/>
        </w:rPr>
        <w:t>44</w:t>
      </w:r>
    </w:p>
    <w:p w:rsidR="007C338A" w:rsidRPr="00F92592" w:rsidRDefault="007C338A" w:rsidP="007C338A">
      <w:pPr>
        <w:jc w:val="right"/>
        <w:rPr>
          <w:rFonts w:ascii="Times New Roman" w:hAnsi="Times New Roman" w:cs="Times New Roman"/>
        </w:rPr>
      </w:pPr>
      <w:r w:rsidRPr="00F92592">
        <w:rPr>
          <w:rFonts w:ascii="Times New Roman" w:hAnsi="Times New Roman" w:cs="Times New Roman"/>
        </w:rPr>
        <w:t xml:space="preserve">от </w:t>
      </w:r>
      <w:r w:rsidR="00F92592" w:rsidRPr="00F92592">
        <w:rPr>
          <w:rFonts w:ascii="Times New Roman" w:hAnsi="Times New Roman" w:cs="Times New Roman"/>
        </w:rPr>
        <w:t>15</w:t>
      </w:r>
      <w:r w:rsidRPr="00F92592">
        <w:rPr>
          <w:rFonts w:ascii="Times New Roman" w:hAnsi="Times New Roman" w:cs="Times New Roman"/>
        </w:rPr>
        <w:t>.0</w:t>
      </w:r>
      <w:r w:rsidR="00F92592" w:rsidRPr="00F92592">
        <w:rPr>
          <w:rFonts w:ascii="Times New Roman" w:hAnsi="Times New Roman" w:cs="Times New Roman"/>
        </w:rPr>
        <w:t>3</w:t>
      </w:r>
      <w:r w:rsidRPr="00F92592">
        <w:rPr>
          <w:rFonts w:ascii="Times New Roman" w:hAnsi="Times New Roman" w:cs="Times New Roman"/>
        </w:rPr>
        <w:t>.2017 года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смете расходов администрации МО Шумское сельское поселение Кировского муниципального района Ленинградской области</w:t>
      </w: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2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08"/>
        <w:gridCol w:w="557"/>
        <w:gridCol w:w="1216"/>
        <w:gridCol w:w="658"/>
        <w:gridCol w:w="516"/>
        <w:gridCol w:w="610"/>
        <w:gridCol w:w="610"/>
        <w:gridCol w:w="610"/>
        <w:gridCol w:w="1379"/>
        <w:gridCol w:w="682"/>
        <w:gridCol w:w="1276"/>
        <w:gridCol w:w="567"/>
        <w:gridCol w:w="567"/>
      </w:tblGrid>
      <w:tr w:rsidR="00F93063" w:rsidTr="00F92592">
        <w:trPr>
          <w:trHeight w:val="744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58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137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9306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93063" w:rsidTr="00F92592">
        <w:trPr>
          <w:trHeight w:val="575"/>
        </w:trPr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7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2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63" w:rsidTr="00F92592">
        <w:trPr>
          <w:trHeight w:val="432"/>
        </w:trPr>
        <w:tc>
          <w:tcPr>
            <w:tcW w:w="516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8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7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</w:tcPr>
          <w:p w:rsidR="00F93063" w:rsidRPr="00F93063" w:rsidRDefault="00F93063" w:rsidP="00F92592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98909</w:t>
            </w:r>
            <w:r w:rsidR="00F92592">
              <w:rPr>
                <w:rFonts w:ascii="Times New Roman" w:hAnsi="Times New Roman" w:cs="Times New Roman"/>
              </w:rPr>
              <w:t>72030</w:t>
            </w:r>
          </w:p>
        </w:tc>
        <w:tc>
          <w:tcPr>
            <w:tcW w:w="658" w:type="dxa"/>
          </w:tcPr>
          <w:p w:rsidR="00F93063" w:rsidRPr="00F93063" w:rsidRDefault="00F92592" w:rsidP="00F9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16" w:type="dxa"/>
          </w:tcPr>
          <w:p w:rsidR="00F93063" w:rsidRPr="00F93063" w:rsidRDefault="00F92592" w:rsidP="00F9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0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79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+260 000,00</w:t>
            </w:r>
          </w:p>
        </w:tc>
        <w:tc>
          <w:tcPr>
            <w:tcW w:w="682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63" w:rsidRPr="00F93063" w:rsidRDefault="00F92592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+260 000,00</w:t>
            </w:r>
          </w:p>
        </w:tc>
        <w:tc>
          <w:tcPr>
            <w:tcW w:w="567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063" w:rsidRP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063" w:rsidRPr="007C338A" w:rsidSect="00F925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144D5A"/>
    <w:multiLevelType w:val="hybridMultilevel"/>
    <w:tmpl w:val="871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C0"/>
    <w:rsid w:val="002351E2"/>
    <w:rsid w:val="00294799"/>
    <w:rsid w:val="002A7557"/>
    <w:rsid w:val="00435334"/>
    <w:rsid w:val="005545BB"/>
    <w:rsid w:val="005B0AA0"/>
    <w:rsid w:val="005C0D62"/>
    <w:rsid w:val="007C338A"/>
    <w:rsid w:val="008106E9"/>
    <w:rsid w:val="008D2CC0"/>
    <w:rsid w:val="00907038"/>
    <w:rsid w:val="009E7F54"/>
    <w:rsid w:val="00C629F9"/>
    <w:rsid w:val="00D2428B"/>
    <w:rsid w:val="00D7084D"/>
    <w:rsid w:val="00F92592"/>
    <w:rsid w:val="00F93063"/>
    <w:rsid w:val="00F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2017-03-20T11:55:00Z</cp:lastPrinted>
  <dcterms:created xsi:type="dcterms:W3CDTF">2017-03-15T12:53:00Z</dcterms:created>
  <dcterms:modified xsi:type="dcterms:W3CDTF">2017-03-20T11:55:00Z</dcterms:modified>
</cp:coreProperties>
</file>