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300"/>
        <w:outlineLvl w:val="0"/>
        <w:rPr/>
      </w:pPr>
      <w:r>
        <w:rPr>
          <w:rFonts w:eastAsia="Times New Roman" w:cs="Times New Roman" w:ascii="Times New Roman" w:hAnsi="Times New Roman"/>
          <w:color w:val="333333"/>
          <w:sz w:val="36"/>
          <w:szCs w:val="36"/>
          <w:lang w:eastAsia="ru-RU"/>
        </w:rPr>
        <w:t xml:space="preserve">Ежемесячная выплата из средств материнского капитала - кто имеет право </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Пенсионный фонд России продолжает ежемесячные выплаты из средств материнского капитала. Воспользоваться этим правом могут семьи в которых второй ребенок рожден или усыновлен начиная с 1 января 2018 года и если не использована вся сумма капитала на основные направления программы. Так же необходимым условием для получения выплаты является доход семьи.</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Ежемесячный средний доход на каждого члена семьи, не должен превышать 1,5-кратную величину прожиточного минимума трудоспособного населения на II квартал 2018 года, установленного в субъекте Российской Федерации. В  Ленинградской области доход на каждого члена семьи не должен превышать 15 747 рублей.</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При расчете среднедушевого дохода учитываются доходы семьи, полученные в денежной форме за 12 месяцев перед обращением ( заработная плата, пенсии, стипендии, алименты, выплаты пенсионных накоплений правопреемникам и другие доходы).</w:t>
      </w:r>
    </w:p>
    <w:p>
      <w:pPr>
        <w:pStyle w:val="Normal"/>
        <w:shd w:val="clear" w:color="auto" w:fill="FFFFFF"/>
        <w:spacing w:lineRule="auto" w:line="240" w:before="0" w:after="0"/>
        <w:jc w:val="both"/>
        <w:rPr/>
      </w:pPr>
      <w:r>
        <w:rPr>
          <w:rFonts w:eastAsia="Times New Roman" w:cs="Times New Roman" w:ascii="Times New Roman" w:hAnsi="Times New Roman"/>
          <w:color w:val="333333"/>
          <w:sz w:val="28"/>
          <w:szCs w:val="28"/>
          <w:lang w:eastAsia="ru-RU"/>
        </w:rPr>
        <w:t>Для удобства граждан, начиная с 12 мая 2019 года, заявление о назначении ежемесячной выплаты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его средств. Подать заявление на выплату можно в любое время в течение полутора лет со дня рождения второго ребенка.</w:t>
      </w:r>
    </w:p>
    <w:p>
      <w:pPr>
        <w:pStyle w:val="Normal"/>
        <w:shd w:val="clear" w:color="auto" w:fill="FFFFFF"/>
        <w:spacing w:lineRule="auto" w:line="240" w:before="0" w:after="0"/>
        <w:jc w:val="both"/>
        <w:rPr/>
      </w:pPr>
      <w:r>
        <w:rPr>
          <w:rFonts w:eastAsia="Times New Roman" w:cs="Times New Roman" w:ascii="Times New Roman" w:hAnsi="Times New Roman"/>
          <w:color w:val="333333"/>
          <w:sz w:val="28"/>
          <w:szCs w:val="28"/>
          <w:lang w:eastAsia="ru-RU"/>
        </w:rPr>
        <w:t xml:space="preserve">При этом если обращение последует в первые шесть месяцев после рождения, то выплата будет установлена со дня рождения ребенка. При обращении позднее шести месяцев от даты рождения – со дня подачи заявления. </w:t>
      </w:r>
    </w:p>
    <w:p>
      <w:pPr>
        <w:pStyle w:val="Normal"/>
        <w:shd w:val="clear" w:color="auto" w:fill="FFFFFF"/>
        <w:spacing w:lineRule="auto" w:line="240" w:before="0" w:after="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Ежемесячная выплата осуществляется до достижения ребенком полутора лет, однако первый выплатной период рассчитан на год. По истечении этого срока, семья может обратиться с заявлением для назначения выплаты еще на шесть месяцев.</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Основными документами для назначения ежемесячной выплаты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Полный перечень документов представлен на официальном сайте ПФР в разделе «Жизненные ситуации».</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Вопросы можно задать по телефону (81363)23412</w:t>
      </w:r>
    </w:p>
    <w:p>
      <w:pPr>
        <w:pStyle w:val="Normal"/>
        <w:shd w:val="clear" w:color="auto" w:fill="FFFFFF"/>
        <w:spacing w:lineRule="auto" w:line="240" w:before="0" w:after="0"/>
        <w:rPr>
          <w:rFonts w:ascii="Arial" w:hAnsi="Arial" w:eastAsia="Times New Roman" w:cs="Arial"/>
          <w:color w:val="333333"/>
          <w:sz w:val="27"/>
          <w:szCs w:val="27"/>
          <w:lang w:eastAsia="ru-RU"/>
        </w:rPr>
      </w:pPr>
      <w:r>
        <w:rPr>
          <w:rFonts w:eastAsia="Times New Roman" w:cs="Arial" w:ascii="Arial" w:hAnsi="Arial"/>
          <w:color w:val="333333"/>
          <w:sz w:val="27"/>
          <w:szCs w:val="27"/>
          <w:lang w:eastAsia="ru-RU"/>
        </w:rPr>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pPr>
      <w:r>
        <w:rPr>
          <w:rFonts w:cs="Times New Roman" w:ascii="Times New Roman" w:hAnsi="Times New Roman"/>
          <w:color w:val="000000"/>
          <w:sz w:val="28"/>
          <w:szCs w:val="28"/>
        </w:rPr>
        <w:t>С.В.Иванова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b6195b"/>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b6195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6195b"/>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b6195b"/>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b6195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2019-06-17T19:00:00Z</dcterms:created>
  <dc:creator>Андрей Иванов</dc:creator>
  <dc:language>ru-RU</dc:language>
  <dcterms:modified xsi:type="dcterms:W3CDTF">2019-08-20T13:45:41Z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