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>C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тудентам, получающим пенсию по потере кормильца.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hd w:fill="FFFFFF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случаю потери кормильца</w:t>
      </w:r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 (81363)28726.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Начальник отдела выплаты пенсий и иных социальных выплат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Управления Пенсионного фонда РФ в Волховском районе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8_151341829"/>
      <w:bookmarkEnd w:id="1"/>
      <w:r>
        <w:rPr>
          <w:rFonts w:cs="Times New Roman" w:ascii="Times New Roman" w:hAnsi="Times New Roman"/>
          <w:sz w:val="28"/>
          <w:szCs w:val="28"/>
          <w:shd w:fill="FFFFFF" w:val="clear"/>
        </w:rPr>
        <w:t>(межрайонное)                                                                                    С.В.Иванова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2019-08-21T13:33:56Z</cp:lastPrinted>
  <dcterms:modified xsi:type="dcterms:W3CDTF">2020-08-04T13:58:50Z</dcterms:modified>
  <cp:revision>7</cp:revision>
</cp:coreProperties>
</file>