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EBDA" w:themeColor="accent5" w:themeTint="33"/>
  <w:body>
    <w:p w:rsidR="00974A26" w:rsidRPr="00B45438" w:rsidRDefault="004567CE" w:rsidP="00B45438">
      <w:pPr>
        <w:ind w:left="-993"/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margin">
                  <wp:posOffset>-544195</wp:posOffset>
                </wp:positionV>
                <wp:extent cx="2771775" cy="3971925"/>
                <wp:effectExtent l="0" t="0" r="9525" b="9525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719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7CE" w:rsidRDefault="004567CE">
                            <w:pPr>
                              <w:rPr>
                                <w:color w:val="335B74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4567CE" w:rsidRPr="00B45438" w:rsidRDefault="004567CE" w:rsidP="004567CE">
                            <w:pPr>
                              <w:pStyle w:val="a9"/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45438">
                              <w:rPr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Статья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                </w:r>
                          </w:p>
                          <w:p w:rsidR="004567CE" w:rsidRDefault="004567CE" w:rsidP="004567CE">
                            <w:pPr>
                              <w:rPr>
                                <w:color w:val="192D3A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18" o:spid="_x0000_s1026" style="position:absolute;left:0;text-align:left;margin-left:5in;margin-top:-42.85pt;width:218.25pt;height:312.7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771775,397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" adj="-11796480,,5400" path="m,l2309803,r461972,461972l2771775,3971925,,3971925,,xe" fillcolor="#6fa0c0 [1951]" stroked="f" strokeweight="1pt">
                <v:fill opacity="13107f" color2="#cfdfea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309803,0;2771775,461972;2771775,3971925;0,3971925;0,0" o:connectangles="0,0,0,0,0,0" textboxrect="0,0,2771775,3971925"/>
                <v:textbox inset="18pt,7.2pt,0,7.2pt">
                  <w:txbxContent>
                    <w:p w:rsidR="004567CE" w:rsidRDefault="004567CE">
                      <w:pPr>
                        <w:rPr>
                          <w:color w:val="335B74" w:themeColor="text2"/>
                          <w:sz w:val="36"/>
                          <w:szCs w:val="36"/>
                        </w:rPr>
                      </w:pPr>
                    </w:p>
                    <w:p w:rsidR="004567CE" w:rsidRPr="00B45438" w:rsidRDefault="004567CE" w:rsidP="004567CE">
                      <w:pPr>
                        <w:pStyle w:val="a9"/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45438">
                        <w:rPr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Статья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          </w:r>
                    </w:p>
                    <w:p w:rsidR="004567CE" w:rsidRDefault="004567CE" w:rsidP="004567CE">
                      <w:pPr>
                        <w:rPr>
                          <w:color w:val="192D3A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45438">
        <w:rPr>
          <w:noProof/>
          <w:lang w:eastAsia="ru-RU"/>
        </w:rPr>
        <w:drawing>
          <wp:inline distT="0" distB="0" distL="0" distR="0">
            <wp:extent cx="2257425" cy="151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43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 w:rsidR="00974A26" w:rsidRPr="00B45438">
        <w:rPr>
          <w:rFonts w:ascii="Times New Roman" w:hAnsi="Times New Roman" w:cs="Times New Roman"/>
          <w:b/>
          <w:i/>
          <w:sz w:val="28"/>
          <w:szCs w:val="28"/>
        </w:rPr>
        <w:t>Вы должны знать.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них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Администрация, сотрудники образовательной организации, иные лица не вправе: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требовать или принимать от благотворителей наличные денежные средства;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образовательной организации.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3. Благотворитель имеет право: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порядке. </w:t>
      </w:r>
    </w:p>
    <w:p w:rsidR="00974A26" w:rsidRPr="00B45438" w:rsidRDefault="00974A26" w:rsidP="00974A26">
      <w:pPr>
        <w:ind w:firstLine="708"/>
        <w:rPr>
          <w:sz w:val="24"/>
          <w:szCs w:val="24"/>
        </w:rPr>
      </w:pPr>
    </w:p>
    <w:sectPr w:rsidR="00974A26" w:rsidRPr="00B45438" w:rsidSect="00B45438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8" w:rsidRDefault="006A1AD8" w:rsidP="00974A26">
      <w:pPr>
        <w:spacing w:after="0" w:line="240" w:lineRule="auto"/>
      </w:pPr>
      <w:r>
        <w:separator/>
      </w:r>
    </w:p>
  </w:endnote>
  <w:endnote w:type="continuationSeparator" w:id="0">
    <w:p w:rsidR="006A1AD8" w:rsidRDefault="006A1AD8" w:rsidP="0097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38" w:rsidRPr="00974A26" w:rsidRDefault="00B45438" w:rsidP="00B45438">
    <w:pPr>
      <w:spacing w:after="0"/>
      <w:ind w:left="-1134"/>
      <w:rPr>
        <w:b/>
        <w:i/>
      </w:rPr>
    </w:pPr>
    <w:r w:rsidRPr="00974A26">
      <w:rPr>
        <w:b/>
        <w:i/>
      </w:rPr>
      <w:t>Кировская городская прокуратура</w:t>
    </w:r>
  </w:p>
  <w:p w:rsidR="00B45438" w:rsidRDefault="00B45438" w:rsidP="00B45438">
    <w:pPr>
      <w:spacing w:after="0"/>
      <w:ind w:left="-1134"/>
      <w:rPr>
        <w:b/>
        <w:i/>
      </w:rPr>
    </w:pPr>
    <w:r w:rsidRPr="00974A26">
      <w:rPr>
        <w:b/>
        <w:i/>
      </w:rPr>
      <w:t>Ленинградской области</w:t>
    </w:r>
  </w:p>
  <w:p w:rsidR="00974A26" w:rsidRDefault="00974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8" w:rsidRDefault="006A1AD8" w:rsidP="00974A26">
      <w:pPr>
        <w:spacing w:after="0" w:line="240" w:lineRule="auto"/>
      </w:pPr>
      <w:r>
        <w:separator/>
      </w:r>
    </w:p>
  </w:footnote>
  <w:footnote w:type="continuationSeparator" w:id="0">
    <w:p w:rsidR="006A1AD8" w:rsidRDefault="006A1AD8" w:rsidP="0097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78"/>
    <w:rsid w:val="000A32E9"/>
    <w:rsid w:val="004567CE"/>
    <w:rsid w:val="006A1AD8"/>
    <w:rsid w:val="00974A26"/>
    <w:rsid w:val="00B45438"/>
    <w:rsid w:val="00C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D81F"/>
  <w15:chartTrackingRefBased/>
  <w15:docId w15:val="{A7FF3832-2593-4A8E-BD48-12D7369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A26"/>
  </w:style>
  <w:style w:type="paragraph" w:styleId="a5">
    <w:name w:val="footer"/>
    <w:basedOn w:val="a"/>
    <w:link w:val="a6"/>
    <w:uiPriority w:val="99"/>
    <w:unhideWhenUsed/>
    <w:rsid w:val="0097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A26"/>
  </w:style>
  <w:style w:type="paragraph" w:styleId="a7">
    <w:name w:val="No Spacing"/>
    <w:link w:val="a8"/>
    <w:uiPriority w:val="1"/>
    <w:qFormat/>
    <w:rsid w:val="00974A2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74A26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567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567C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1E14-D134-45FB-B10C-CB384C5A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2019-12-06T08:11:00Z</dcterms:created>
  <dcterms:modified xsi:type="dcterms:W3CDTF">2019-12-06T08:41:00Z</dcterms:modified>
</cp:coreProperties>
</file>