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EA" w:rsidRPr="005306EA" w:rsidRDefault="00245F7D" w:rsidP="005306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bookmarkStart w:id="0" w:name="_GoBack"/>
      <w:r w:rsidRPr="005306E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DB61C1" wp14:editId="7E4224D1">
            <wp:simplePos x="0" y="0"/>
            <wp:positionH relativeFrom="column">
              <wp:posOffset>2493010</wp:posOffset>
            </wp:positionH>
            <wp:positionV relativeFrom="paragraph">
              <wp:posOffset>-236220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6EA" w:rsidRPr="005306EA" w:rsidRDefault="005306EA" w:rsidP="005306E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6EA" w:rsidRPr="005306EA" w:rsidRDefault="005306EA" w:rsidP="005306E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6EA" w:rsidRPr="005306EA" w:rsidRDefault="005306EA" w:rsidP="005306E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6EA" w:rsidRPr="005306EA" w:rsidRDefault="005306EA" w:rsidP="005306E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6EA" w:rsidRPr="005306EA" w:rsidRDefault="005306EA" w:rsidP="005306E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5306EA" w:rsidRPr="005306EA" w:rsidRDefault="005306EA" w:rsidP="005306EA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 СЕЛЬСКОЕ ПОСЕЛЕНИЕ</w:t>
      </w:r>
    </w:p>
    <w:p w:rsidR="005306EA" w:rsidRPr="005306EA" w:rsidRDefault="005306EA" w:rsidP="005306EA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МУНИЦИПАЛЬНОГО РАЙОНА</w:t>
      </w:r>
    </w:p>
    <w:p w:rsidR="005306EA" w:rsidRPr="005306EA" w:rsidRDefault="005306EA" w:rsidP="005306EA">
      <w:pPr>
        <w:keepNext/>
        <w:spacing w:after="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5306EA" w:rsidRPr="005306EA" w:rsidRDefault="005306EA" w:rsidP="005306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06EA" w:rsidRPr="005306EA" w:rsidRDefault="005306EA" w:rsidP="005306EA">
      <w:pPr>
        <w:tabs>
          <w:tab w:val="left" w:pos="131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306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r w:rsidRPr="005306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proofErr w:type="gramStart"/>
      <w:r w:rsidRPr="005306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5306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 С Т А Н О В Л Е Н И Е</w:t>
      </w:r>
    </w:p>
    <w:p w:rsidR="005306EA" w:rsidRPr="005306EA" w:rsidRDefault="005306EA" w:rsidP="005306E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8"/>
          <w:lang w:eastAsia="ru-RU"/>
        </w:rPr>
      </w:pPr>
    </w:p>
    <w:p w:rsidR="005306EA" w:rsidRPr="005306EA" w:rsidRDefault="00245F7D" w:rsidP="005306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20</w:t>
      </w:r>
      <w:r w:rsidR="005306EA" w:rsidRPr="005306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апреля 2026 года  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99</w:t>
      </w:r>
    </w:p>
    <w:p w:rsidR="005306EA" w:rsidRPr="005306EA" w:rsidRDefault="005306EA" w:rsidP="005306EA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5F7D" w:rsidRDefault="005306EA" w:rsidP="00245F7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0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="00245F7D">
        <w:rPr>
          <w:rFonts w:ascii="Times New Roman" w:hAnsi="Times New Roman" w:cs="Times New Roman"/>
          <w:b/>
          <w:sz w:val="28"/>
          <w:szCs w:val="28"/>
        </w:rPr>
        <w:t>предоставления на территории муниципального образования Шумское сельское поселение Кировского муниципального района Ленинградской области муниципальной 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5306EA" w:rsidRPr="005306EA" w:rsidRDefault="005306EA" w:rsidP="005306E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306EA" w:rsidRPr="005306EA" w:rsidRDefault="005306EA" w:rsidP="0053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06EA" w:rsidRPr="005306EA" w:rsidRDefault="005306EA" w:rsidP="005306EA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5306EA" w:rsidRPr="005306EA" w:rsidRDefault="005306EA" w:rsidP="00245F7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1.Утвердить Административный регламент </w:t>
      </w:r>
      <w:r w:rsidR="00245F7D" w:rsidRP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на территории муниципального образования Шумское сельское поселение Кировского муниципального района Ленинградской области муниципальной  услуги  «Выдача разрешений на проведение работ по сохранению объектов культурного наследия местного (муниципального) значения»</w:t>
      </w:r>
      <w:r w:rsidR="00245F7D"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 </w:t>
      </w:r>
    </w:p>
    <w:p w:rsidR="005306EA" w:rsidRPr="005306EA" w:rsidRDefault="005306EA" w:rsidP="005306E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Признать утратившими силу постановление администрации от 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05.06.2024</w:t>
      </w: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121 «</w:t>
      </w:r>
      <w:r w:rsidR="00245F7D" w:rsidRP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 w:rsidR="00245F7D" w:rsidRP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муниципального образования Шумское сельское поселение Кировского муниципального района Ленинградской области по предоставлению муниципальной услуги «Выдача разрешений на проведение работ по сохранению объектов культурного наследия муниципального значения»</w:t>
      </w: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306EA" w:rsidRPr="005306EA" w:rsidRDefault="005306EA" w:rsidP="005306E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5306E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http://шумское.рф/</w:t>
        </w:r>
      </w:hyperlink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306EA" w:rsidRPr="005306EA" w:rsidRDefault="005306EA" w:rsidP="005306E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</w:t>
      </w:r>
      <w:proofErr w:type="gramStart"/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5306EA" w:rsidRPr="005306EA" w:rsidRDefault="005306EA" w:rsidP="005306EA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06EA" w:rsidRPr="005306EA" w:rsidRDefault="005306EA" w:rsidP="005306EA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5306EA" w:rsidRPr="005306EA" w:rsidRDefault="005306EA" w:rsidP="005306EA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6E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 дело, прокуратура КМР</w:t>
      </w: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Приложение </w:t>
      </w: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Шумского</w:t>
      </w: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5306EA" w:rsidRPr="005306EA" w:rsidRDefault="005306EA" w:rsidP="005306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30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.04.2026 года № 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99</w:t>
      </w:r>
    </w:p>
    <w:p w:rsidR="005306EA" w:rsidRPr="005306EA" w:rsidRDefault="005306EA" w:rsidP="005306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bookmarkEnd w:id="0"/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53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61FD2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D61FD2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93783E" w:rsidRDefault="00D61FD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</w:t>
      </w:r>
      <w:r w:rsidR="00245F7D">
        <w:rPr>
          <w:rFonts w:ascii="Times New Roman" w:hAnsi="Times New Roman" w:cs="Times New Roman"/>
          <w:b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93783E" w:rsidRDefault="00937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93783E" w:rsidRDefault="0093783E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93783E" w:rsidRDefault="00D61FD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Default="00D61FD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8417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Default="009378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3783E" w:rsidRDefault="00937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245F7D">
        <w:rPr>
          <w:rFonts w:ascii="Times New Roman" w:hAnsi="Times New Roman" w:cs="Times New Roman"/>
          <w:sz w:val="28"/>
          <w:szCs w:val="28"/>
        </w:rPr>
        <w:t>А</w:t>
      </w:r>
      <w:r w:rsidR="00245F7D" w:rsidRP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</w:t>
      </w:r>
      <w:r w:rsid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245F7D" w:rsidRPr="00245F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Шумское сельское поселение Кировского муниципального района Ленинградской области 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представления документов на бумажном носителе - не более 30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Default="00D61FD2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685ED7" w:rsidRDefault="00685ED7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только юридическим лицам, индивидуальным предпринимателям.</w:t>
      </w:r>
      <w:proofErr w:type="gramEnd"/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93783E" w:rsidRDefault="005306EA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https://login.consultant.ru/link/?req=doc&amp;base=LAW&amp;n=508991&amp;dst=100209" w:history="1">
        <w:r w:rsidR="00D61FD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D61FD2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93783E" w:rsidRDefault="0093783E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93017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 w:rsidP="0069301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 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93783E" w:rsidRP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F7D" w:rsidRDefault="00245F7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3783E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  <w:hyperlink r:id="rId20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документы подаются непосредственно в ОМСУ;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МЦФ - документы подаются непосредственно в МФЦ;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з) – представитель заявителя</w:t>
      </w:r>
    </w:p>
    <w:p w:rsidR="0093783E" w:rsidRDefault="00D61FD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93783E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93783E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93783E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93783E">
        <w:tc>
          <w:tcPr>
            <w:tcW w:w="706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67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93783E">
        <w:tc>
          <w:tcPr>
            <w:tcW w:w="706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93783E" w:rsidRDefault="009378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>
        <w:tc>
          <w:tcPr>
            <w:tcW w:w="488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>
              <w:rPr>
                <w:rFonts w:eastAsia="Times New Roman"/>
                <w:highlight w:val="white"/>
              </w:rPr>
              <w:t>и(</w:t>
            </w:r>
            <w:proofErr w:type="gramEnd"/>
            <w:r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</w:r>
            <w:r>
              <w:rPr>
                <w:rFonts w:eastAsia="Times New Roman"/>
                <w:highlight w:val="white"/>
              </w:rPr>
              <w:lastRenderedPageBreak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>
        <w:trPr>
          <w:trHeight w:val="276"/>
        </w:trPr>
        <w:tc>
          <w:tcPr>
            <w:tcW w:w="488" w:type="dxa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Default="00D6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Default="0093783E"/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83E" w:rsidRDefault="00D61FD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7) Отсутствие права на предоставление муниципальной услуги.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Default="00D61FD2" w:rsidP="00245F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 w:clear="all"/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5E78E3" w:rsidP="005E78E3">
      <w:pPr>
        <w:ind w:firstLine="709"/>
        <w:jc w:val="both"/>
        <w:rPr>
          <w:rFonts w:ascii="Times New Roman" w:hAnsi="Times New Roman" w:cs="Times New Roman"/>
        </w:rPr>
        <w:sectPr w:rsidR="0093783E">
          <w:headerReference w:type="default" r:id="rId21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783E" w:rsidRPr="005E78E3" w:rsidRDefault="0093783E" w:rsidP="005E78E3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93783E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3"/>
        <w:gridCol w:w="2346"/>
        <w:gridCol w:w="1216"/>
        <w:gridCol w:w="2062"/>
      </w:tblGrid>
      <w:tr w:rsidR="0093783E">
        <w:tc>
          <w:tcPr>
            <w:tcW w:w="4503" w:type="dxa"/>
            <w:shd w:val="clear" w:color="FFFFFF" w:fill="FFFFFF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FFFFFF" w:fill="FFFFFF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Pr="005E78E3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3783E" w:rsidRDefault="0093783E">
      <w:pPr>
        <w:pStyle w:val="afd"/>
        <w:jc w:val="center"/>
        <w:rPr>
          <w:sz w:val="28"/>
          <w:szCs w:val="28"/>
        </w:rPr>
      </w:pPr>
    </w:p>
    <w:p w:rsidR="0093783E" w:rsidRDefault="00D61FD2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93783E" w:rsidRDefault="0093783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ОМСУ по результатам рассмотрения заявления от ____________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________ по вопросу выдачи разрешения на проведение работ по сохранению объекта культурного наследия</w:t>
      </w: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93783E" w:rsidRDefault="00D61FD2">
      <w:pPr>
        <w:pStyle w:val="afd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93783E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___ экз.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4"/>
        <w:gridCol w:w="2329"/>
        <w:gridCol w:w="1218"/>
        <w:gridCol w:w="2066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3783E" w:rsidRDefault="009378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3783E">
      <w:headerReference w:type="default" r:id="rId22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76" w:rsidRDefault="00357976">
      <w:pPr>
        <w:spacing w:after="0" w:line="240" w:lineRule="auto"/>
      </w:pPr>
      <w:r>
        <w:separator/>
      </w:r>
    </w:p>
  </w:endnote>
  <w:endnote w:type="continuationSeparator" w:id="0">
    <w:p w:rsidR="00357976" w:rsidRDefault="003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76" w:rsidRDefault="00357976">
      <w:pPr>
        <w:spacing w:after="0" w:line="240" w:lineRule="auto"/>
      </w:pPr>
      <w:r>
        <w:separator/>
      </w:r>
    </w:p>
  </w:footnote>
  <w:footnote w:type="continuationSeparator" w:id="0">
    <w:p w:rsidR="00357976" w:rsidRDefault="003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A" w:rsidRDefault="005306EA">
    <w:pPr>
      <w:pStyle w:val="af4"/>
      <w:jc w:val="center"/>
    </w:pPr>
  </w:p>
  <w:p w:rsidR="005306EA" w:rsidRDefault="005306E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066976"/>
      <w:docPartObj>
        <w:docPartGallery w:val="Page Numbers (Top of Page)"/>
        <w:docPartUnique/>
      </w:docPartObj>
    </w:sdtPr>
    <w:sdtContent>
      <w:p w:rsidR="005306EA" w:rsidRDefault="005306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86">
          <w:rPr>
            <w:noProof/>
          </w:rPr>
          <w:t>21</w:t>
        </w:r>
        <w:r>
          <w:fldChar w:fldCharType="end"/>
        </w:r>
      </w:p>
    </w:sdtContent>
  </w:sdt>
  <w:p w:rsidR="005306EA" w:rsidRDefault="005306EA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4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7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5"/>
  </w:num>
  <w:num w:numId="4">
    <w:abstractNumId w:val="39"/>
  </w:num>
  <w:num w:numId="5">
    <w:abstractNumId w:val="22"/>
  </w:num>
  <w:num w:numId="6">
    <w:abstractNumId w:val="29"/>
  </w:num>
  <w:num w:numId="7">
    <w:abstractNumId w:val="5"/>
  </w:num>
  <w:num w:numId="8">
    <w:abstractNumId w:val="3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10"/>
  </w:num>
  <w:num w:numId="14">
    <w:abstractNumId w:val="25"/>
  </w:num>
  <w:num w:numId="15">
    <w:abstractNumId w:val="4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9"/>
  </w:num>
  <w:num w:numId="21">
    <w:abstractNumId w:val="1"/>
  </w:num>
  <w:num w:numId="22">
    <w:abstractNumId w:val="28"/>
  </w:num>
  <w:num w:numId="23">
    <w:abstractNumId w:val="27"/>
  </w:num>
  <w:num w:numId="24">
    <w:abstractNumId w:val="19"/>
  </w:num>
  <w:num w:numId="25">
    <w:abstractNumId w:val="48"/>
  </w:num>
  <w:num w:numId="26">
    <w:abstractNumId w:val="17"/>
  </w:num>
  <w:num w:numId="27">
    <w:abstractNumId w:val="6"/>
  </w:num>
  <w:num w:numId="28">
    <w:abstractNumId w:val="13"/>
  </w:num>
  <w:num w:numId="29">
    <w:abstractNumId w:val="40"/>
  </w:num>
  <w:num w:numId="30">
    <w:abstractNumId w:val="44"/>
  </w:num>
  <w:num w:numId="31">
    <w:abstractNumId w:val="12"/>
  </w:num>
  <w:num w:numId="32">
    <w:abstractNumId w:val="31"/>
  </w:num>
  <w:num w:numId="33">
    <w:abstractNumId w:val="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46"/>
  </w:num>
  <w:num w:numId="37">
    <w:abstractNumId w:val="3"/>
  </w:num>
  <w:num w:numId="38">
    <w:abstractNumId w:val="33"/>
  </w:num>
  <w:num w:numId="39">
    <w:abstractNumId w:val="36"/>
  </w:num>
  <w:num w:numId="40">
    <w:abstractNumId w:val="26"/>
  </w:num>
  <w:num w:numId="41">
    <w:abstractNumId w:val="21"/>
  </w:num>
  <w:num w:numId="42">
    <w:abstractNumId w:val="42"/>
  </w:num>
  <w:num w:numId="43">
    <w:abstractNumId w:val="18"/>
  </w:num>
  <w:num w:numId="44">
    <w:abstractNumId w:val="47"/>
  </w:num>
  <w:num w:numId="45">
    <w:abstractNumId w:val="41"/>
  </w:num>
  <w:num w:numId="46">
    <w:abstractNumId w:val="24"/>
  </w:num>
  <w:num w:numId="47">
    <w:abstractNumId w:val="34"/>
  </w:num>
  <w:num w:numId="48">
    <w:abstractNumId w:val="38"/>
  </w:num>
  <w:num w:numId="49">
    <w:abstractNumId w:val="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3E"/>
    <w:rsid w:val="000A3AC9"/>
    <w:rsid w:val="001C2767"/>
    <w:rsid w:val="00245F7D"/>
    <w:rsid w:val="00276286"/>
    <w:rsid w:val="0028417C"/>
    <w:rsid w:val="00357976"/>
    <w:rsid w:val="0038400B"/>
    <w:rsid w:val="005306EA"/>
    <w:rsid w:val="005C7575"/>
    <w:rsid w:val="005E78E3"/>
    <w:rsid w:val="00685ED7"/>
    <w:rsid w:val="00693017"/>
    <w:rsid w:val="007564D6"/>
    <w:rsid w:val="0093783E"/>
    <w:rsid w:val="009F56FD"/>
    <w:rsid w:val="00D61FD2"/>
    <w:rsid w:val="00EC18CE"/>
    <w:rsid w:val="00E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AA85-EF83-474B-9D35-B1551E4C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1</Pages>
  <Words>5719</Words>
  <Characters>32601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Александровна Павлова</dc:creator>
  <cp:lastModifiedBy>User</cp:lastModifiedBy>
  <cp:revision>5</cp:revision>
  <cp:lastPrinted>2026-04-20T06:22:00Z</cp:lastPrinted>
  <dcterms:created xsi:type="dcterms:W3CDTF">2026-04-17T12:04:00Z</dcterms:created>
  <dcterms:modified xsi:type="dcterms:W3CDTF">2026-04-20T06:22:00Z</dcterms:modified>
</cp:coreProperties>
</file>